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13E9C" w14:textId="77777777" w:rsidR="001E56C0" w:rsidRDefault="00893725" w:rsidP="0098172C">
      <w:pPr>
        <w:keepNext/>
        <w:pBdr>
          <w:top w:val="nil"/>
          <w:left w:val="nil"/>
          <w:bottom w:val="nil"/>
          <w:right w:val="nil"/>
          <w:between w:val="nil"/>
        </w:pBdr>
        <w:spacing w:before="120" w:after="120"/>
        <w:ind w:left="0"/>
        <w:jc w:val="left"/>
        <w:rPr>
          <w:rFonts w:eastAsia="Arial"/>
          <w:b/>
          <w:color w:val="000000"/>
          <w:sz w:val="36"/>
          <w:szCs w:val="36"/>
        </w:rPr>
      </w:pPr>
      <w:bookmarkStart w:id="0" w:name="_GoBack"/>
      <w:r>
        <w:rPr>
          <w:rFonts w:eastAsia="Arial"/>
          <w:b/>
          <w:color w:val="000000"/>
          <w:sz w:val="36"/>
          <w:szCs w:val="36"/>
        </w:rPr>
        <w:t>Call-Off Schedule 8 (Business Continuity and Disaster Recovery)</w:t>
      </w:r>
    </w:p>
    <w:p w14:paraId="6A113E9D" w14:textId="77777777" w:rsidR="001E56C0" w:rsidRDefault="00893725" w:rsidP="0098172C">
      <w:pPr>
        <w:keepNext/>
        <w:numPr>
          <w:ilvl w:val="0"/>
          <w:numId w:val="1"/>
        </w:numPr>
        <w:pBdr>
          <w:top w:val="nil"/>
          <w:left w:val="nil"/>
          <w:bottom w:val="nil"/>
          <w:right w:val="nil"/>
          <w:between w:val="nil"/>
        </w:pBdr>
        <w:tabs>
          <w:tab w:val="left" w:pos="0"/>
        </w:tabs>
        <w:spacing w:before="120" w:after="120"/>
        <w:jc w:val="left"/>
        <w:rPr>
          <w:rFonts w:eastAsia="Arial"/>
          <w:b/>
          <w:smallCaps/>
          <w:color w:val="000000"/>
          <w:sz w:val="24"/>
          <w:szCs w:val="24"/>
        </w:rPr>
      </w:pPr>
      <w:bookmarkStart w:id="1" w:name="_heading=h.gjdgxs" w:colFirst="0" w:colLast="0"/>
      <w:bookmarkEnd w:id="1"/>
      <w:r>
        <w:rPr>
          <w:rFonts w:eastAsia="Arial"/>
          <w:b/>
          <w:smallCaps/>
          <w:color w:val="000000"/>
          <w:sz w:val="24"/>
          <w:szCs w:val="24"/>
        </w:rPr>
        <w:t>D</w:t>
      </w:r>
      <w:r>
        <w:rPr>
          <w:rFonts w:ascii="Arial Bold" w:eastAsia="Arial Bold" w:hAnsi="Arial Bold" w:cs="Arial Bold"/>
          <w:b/>
          <w:color w:val="000000"/>
          <w:sz w:val="24"/>
          <w:szCs w:val="24"/>
        </w:rPr>
        <w:t>efinitions</w:t>
      </w:r>
    </w:p>
    <w:p w14:paraId="6A113E9E" w14:textId="77777777" w:rsidR="001E56C0" w:rsidRDefault="00893725" w:rsidP="0098172C">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1E56C0" w14:paraId="6A113EA1" w14:textId="77777777">
        <w:tc>
          <w:tcPr>
            <w:tcW w:w="3097" w:type="dxa"/>
          </w:tcPr>
          <w:p w14:paraId="6A113E9F" w14:textId="77777777" w:rsidR="001E56C0" w:rsidRDefault="00893725" w:rsidP="0098172C">
            <w:pPr>
              <w:pBdr>
                <w:top w:val="nil"/>
                <w:left w:val="nil"/>
                <w:bottom w:val="nil"/>
                <w:right w:val="nil"/>
                <w:between w:val="nil"/>
              </w:pBdr>
              <w:spacing w:before="120" w:after="120"/>
              <w:ind w:left="-108"/>
              <w:jc w:val="left"/>
              <w:rPr>
                <w:rFonts w:eastAsia="Arial"/>
                <w:b/>
                <w:color w:val="000000"/>
                <w:sz w:val="24"/>
                <w:szCs w:val="24"/>
              </w:rPr>
            </w:pPr>
            <w:r>
              <w:rPr>
                <w:rFonts w:eastAsia="Arial"/>
                <w:b/>
                <w:color w:val="000000"/>
                <w:sz w:val="24"/>
                <w:szCs w:val="24"/>
              </w:rPr>
              <w:t>"BCDR Plan"</w:t>
            </w:r>
          </w:p>
        </w:tc>
        <w:tc>
          <w:tcPr>
            <w:tcW w:w="5075" w:type="dxa"/>
          </w:tcPr>
          <w:p w14:paraId="6A113EA0" w14:textId="77777777" w:rsidR="001E56C0" w:rsidRDefault="00893725" w:rsidP="0098172C">
            <w:pPr>
              <w:numPr>
                <w:ilvl w:val="0"/>
                <w:numId w:val="2"/>
              </w:numPr>
              <w:pBdr>
                <w:top w:val="nil"/>
                <w:left w:val="nil"/>
                <w:bottom w:val="nil"/>
                <w:right w:val="nil"/>
                <w:between w:val="nil"/>
              </w:pBdr>
              <w:tabs>
                <w:tab w:val="left" w:pos="-9"/>
              </w:tabs>
              <w:spacing w:before="120" w:after="120"/>
              <w:jc w:val="left"/>
              <w:rPr>
                <w:rFonts w:eastAsia="Arial"/>
                <w:color w:val="000000"/>
                <w:sz w:val="24"/>
                <w:szCs w:val="24"/>
              </w:rPr>
            </w:pPr>
            <w:r>
              <w:rPr>
                <w:rFonts w:eastAsia="Arial"/>
                <w:color w:val="000000"/>
                <w:sz w:val="24"/>
                <w:szCs w:val="24"/>
              </w:rPr>
              <w:t>has the meaning given to it in Paragraph 2.2 of this Schedule;</w:t>
            </w:r>
          </w:p>
        </w:tc>
      </w:tr>
      <w:tr w:rsidR="001E56C0" w14:paraId="6A113EA4" w14:textId="77777777">
        <w:tc>
          <w:tcPr>
            <w:tcW w:w="3097" w:type="dxa"/>
          </w:tcPr>
          <w:p w14:paraId="6A113EA2" w14:textId="77777777" w:rsidR="001E56C0" w:rsidRDefault="00893725" w:rsidP="0098172C">
            <w:pPr>
              <w:pBdr>
                <w:top w:val="nil"/>
                <w:left w:val="nil"/>
                <w:bottom w:val="nil"/>
                <w:right w:val="nil"/>
                <w:between w:val="nil"/>
              </w:pBdr>
              <w:spacing w:before="120"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14:paraId="6A113EA3" w14:textId="77777777" w:rsidR="001E56C0" w:rsidRDefault="00893725" w:rsidP="0098172C">
            <w:pPr>
              <w:numPr>
                <w:ilvl w:val="0"/>
                <w:numId w:val="2"/>
              </w:numPr>
              <w:pBdr>
                <w:top w:val="nil"/>
                <w:left w:val="nil"/>
                <w:bottom w:val="nil"/>
                <w:right w:val="nil"/>
                <w:between w:val="nil"/>
              </w:pBdr>
              <w:tabs>
                <w:tab w:val="left" w:pos="-9"/>
              </w:tabs>
              <w:spacing w:before="120" w:after="120"/>
              <w:jc w:val="left"/>
              <w:rPr>
                <w:rFonts w:eastAsia="Arial"/>
                <w:color w:val="000000"/>
                <w:sz w:val="24"/>
                <w:szCs w:val="24"/>
              </w:rPr>
            </w:pPr>
            <w:r>
              <w:rPr>
                <w:rFonts w:eastAsia="Arial"/>
                <w:color w:val="000000"/>
                <w:sz w:val="24"/>
                <w:szCs w:val="24"/>
              </w:rPr>
              <w:t>has the meaning given to it in Paragraph 2.3.2 of this Schedule;</w:t>
            </w:r>
          </w:p>
        </w:tc>
      </w:tr>
      <w:tr w:rsidR="001E56C0" w14:paraId="6A113EA7" w14:textId="77777777">
        <w:tc>
          <w:tcPr>
            <w:tcW w:w="3097" w:type="dxa"/>
          </w:tcPr>
          <w:p w14:paraId="6A113EA5" w14:textId="77777777" w:rsidR="001E56C0" w:rsidRDefault="00893725" w:rsidP="0098172C">
            <w:pPr>
              <w:pBdr>
                <w:top w:val="nil"/>
                <w:left w:val="nil"/>
                <w:bottom w:val="nil"/>
                <w:right w:val="nil"/>
                <w:between w:val="nil"/>
              </w:pBdr>
              <w:spacing w:before="120" w:after="120"/>
              <w:ind w:left="-108"/>
              <w:jc w:val="left"/>
              <w:rPr>
                <w:rFonts w:eastAsia="Arial"/>
                <w:b/>
                <w:color w:val="000000"/>
                <w:sz w:val="24"/>
                <w:szCs w:val="24"/>
              </w:rPr>
            </w:pPr>
            <w:r>
              <w:rPr>
                <w:rFonts w:eastAsia="Arial"/>
                <w:b/>
                <w:color w:val="000000"/>
                <w:sz w:val="24"/>
                <w:szCs w:val="24"/>
              </w:rPr>
              <w:t>"Disaster"</w:t>
            </w:r>
          </w:p>
        </w:tc>
        <w:tc>
          <w:tcPr>
            <w:tcW w:w="5075" w:type="dxa"/>
          </w:tcPr>
          <w:p w14:paraId="6A113EA6" w14:textId="77777777" w:rsidR="001E56C0" w:rsidRDefault="00893725" w:rsidP="0098172C">
            <w:pPr>
              <w:numPr>
                <w:ilvl w:val="0"/>
                <w:numId w:val="2"/>
              </w:numPr>
              <w:pBdr>
                <w:top w:val="nil"/>
                <w:left w:val="nil"/>
                <w:bottom w:val="nil"/>
                <w:right w:val="nil"/>
                <w:between w:val="nil"/>
              </w:pBdr>
              <w:tabs>
                <w:tab w:val="left" w:pos="-9"/>
              </w:tabs>
              <w:spacing w:before="120" w:after="120"/>
              <w:jc w:val="left"/>
              <w:rPr>
                <w:rFonts w:eastAsia="Arial"/>
                <w:color w:val="000000"/>
                <w:sz w:val="24"/>
                <w:szCs w:val="24"/>
              </w:rPr>
            </w:pPr>
            <w:bookmarkStart w:id="2" w:name="_heading=h.30j0zll" w:colFirst="0" w:colLast="0"/>
            <w:bookmarkEnd w:id="2"/>
            <w:r>
              <w:rPr>
                <w:rFonts w:eastAsia="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1E56C0" w14:paraId="6A113EAA" w14:textId="77777777">
        <w:tc>
          <w:tcPr>
            <w:tcW w:w="3097" w:type="dxa"/>
          </w:tcPr>
          <w:p w14:paraId="6A113EA8" w14:textId="77777777" w:rsidR="001E56C0" w:rsidRDefault="00893725" w:rsidP="0098172C">
            <w:pPr>
              <w:pBdr>
                <w:top w:val="nil"/>
                <w:left w:val="nil"/>
                <w:bottom w:val="nil"/>
                <w:right w:val="nil"/>
                <w:between w:val="nil"/>
              </w:pBdr>
              <w:spacing w:before="120"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14:paraId="6A113EA9" w14:textId="77777777" w:rsidR="001E56C0" w:rsidRDefault="00893725" w:rsidP="0098172C">
            <w:pPr>
              <w:numPr>
                <w:ilvl w:val="0"/>
                <w:numId w:val="2"/>
              </w:numPr>
              <w:pBdr>
                <w:top w:val="nil"/>
                <w:left w:val="nil"/>
                <w:bottom w:val="nil"/>
                <w:right w:val="nil"/>
                <w:between w:val="nil"/>
              </w:pBdr>
              <w:tabs>
                <w:tab w:val="left" w:pos="-9"/>
                <w:tab w:val="left" w:pos="-179"/>
              </w:tabs>
              <w:spacing w:before="120"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1E56C0" w14:paraId="6A113EAD" w14:textId="77777777">
        <w:tc>
          <w:tcPr>
            <w:tcW w:w="3097" w:type="dxa"/>
          </w:tcPr>
          <w:p w14:paraId="6A113EAB" w14:textId="77777777" w:rsidR="001E56C0" w:rsidRDefault="00893725" w:rsidP="0098172C">
            <w:pPr>
              <w:pBdr>
                <w:top w:val="nil"/>
                <w:left w:val="nil"/>
                <w:bottom w:val="nil"/>
                <w:right w:val="nil"/>
                <w:between w:val="nil"/>
              </w:pBdr>
              <w:spacing w:before="120"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14:paraId="6A113EAC" w14:textId="77777777" w:rsidR="001E56C0" w:rsidRDefault="00893725" w:rsidP="0098172C">
            <w:pPr>
              <w:numPr>
                <w:ilvl w:val="0"/>
                <w:numId w:val="2"/>
              </w:numPr>
              <w:pBdr>
                <w:top w:val="nil"/>
                <w:left w:val="nil"/>
                <w:bottom w:val="nil"/>
                <w:right w:val="nil"/>
                <w:between w:val="nil"/>
              </w:pBdr>
              <w:tabs>
                <w:tab w:val="left" w:pos="-9"/>
              </w:tabs>
              <w:spacing w:before="120" w:after="120"/>
              <w:jc w:val="left"/>
              <w:rPr>
                <w:rFonts w:eastAsia="Arial"/>
                <w:color w:val="000000"/>
                <w:sz w:val="24"/>
                <w:szCs w:val="24"/>
              </w:rPr>
            </w:pPr>
            <w:r>
              <w:rPr>
                <w:rFonts w:eastAsia="Arial"/>
                <w:color w:val="000000"/>
                <w:sz w:val="24"/>
                <w:szCs w:val="24"/>
              </w:rPr>
              <w:t>has the meaning given to it in Paragraph 2.3.3 of this Schedule;</w:t>
            </w:r>
          </w:p>
        </w:tc>
      </w:tr>
      <w:tr w:rsidR="001E56C0" w14:paraId="6A113EB0" w14:textId="77777777">
        <w:tc>
          <w:tcPr>
            <w:tcW w:w="3097" w:type="dxa"/>
          </w:tcPr>
          <w:p w14:paraId="6A113EAE" w14:textId="77777777" w:rsidR="001E56C0" w:rsidRDefault="00893725" w:rsidP="0098172C">
            <w:pPr>
              <w:pBdr>
                <w:top w:val="nil"/>
                <w:left w:val="nil"/>
                <w:bottom w:val="nil"/>
                <w:right w:val="nil"/>
                <w:between w:val="nil"/>
              </w:pBdr>
              <w:spacing w:before="120"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14:paraId="6A113EAF" w14:textId="77777777" w:rsidR="001E56C0" w:rsidRDefault="00893725" w:rsidP="0098172C">
            <w:pPr>
              <w:numPr>
                <w:ilvl w:val="0"/>
                <w:numId w:val="2"/>
              </w:numPr>
              <w:pBdr>
                <w:top w:val="nil"/>
                <w:left w:val="nil"/>
                <w:bottom w:val="nil"/>
                <w:right w:val="nil"/>
                <w:between w:val="nil"/>
              </w:pBdr>
              <w:tabs>
                <w:tab w:val="left" w:pos="-9"/>
              </w:tabs>
              <w:spacing w:before="120"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1E56C0" w14:paraId="6A113EB3" w14:textId="77777777">
        <w:trPr>
          <w:trHeight w:val="567"/>
        </w:trPr>
        <w:tc>
          <w:tcPr>
            <w:tcW w:w="3097" w:type="dxa"/>
          </w:tcPr>
          <w:p w14:paraId="6A113EB1" w14:textId="77777777" w:rsidR="001E56C0" w:rsidRDefault="00893725" w:rsidP="0098172C">
            <w:pPr>
              <w:pBdr>
                <w:top w:val="nil"/>
                <w:left w:val="nil"/>
                <w:bottom w:val="nil"/>
                <w:right w:val="nil"/>
                <w:between w:val="nil"/>
              </w:pBdr>
              <w:spacing w:before="120" w:after="120"/>
              <w:ind w:left="-108"/>
              <w:jc w:val="left"/>
              <w:rPr>
                <w:rFonts w:eastAsia="Arial"/>
                <w:b/>
                <w:color w:val="000000"/>
                <w:sz w:val="24"/>
                <w:szCs w:val="24"/>
              </w:rPr>
            </w:pPr>
            <w:r>
              <w:rPr>
                <w:rFonts w:eastAsia="Arial"/>
                <w:b/>
                <w:color w:val="000000"/>
                <w:sz w:val="24"/>
                <w:szCs w:val="24"/>
              </w:rPr>
              <w:t>"Related Supplier"</w:t>
            </w:r>
          </w:p>
        </w:tc>
        <w:tc>
          <w:tcPr>
            <w:tcW w:w="5075" w:type="dxa"/>
          </w:tcPr>
          <w:p w14:paraId="6A113EB2" w14:textId="77777777" w:rsidR="001E56C0" w:rsidRDefault="00893725" w:rsidP="0098172C">
            <w:pPr>
              <w:numPr>
                <w:ilvl w:val="0"/>
                <w:numId w:val="2"/>
              </w:numPr>
              <w:pBdr>
                <w:top w:val="nil"/>
                <w:left w:val="nil"/>
                <w:bottom w:val="nil"/>
                <w:right w:val="nil"/>
                <w:between w:val="nil"/>
              </w:pBdr>
              <w:tabs>
                <w:tab w:val="left" w:pos="-9"/>
              </w:tabs>
              <w:spacing w:before="120" w:after="12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1E56C0" w14:paraId="6A113EB6" w14:textId="77777777">
        <w:trPr>
          <w:trHeight w:val="567"/>
        </w:trPr>
        <w:tc>
          <w:tcPr>
            <w:tcW w:w="3097" w:type="dxa"/>
          </w:tcPr>
          <w:p w14:paraId="6A113EB4" w14:textId="77777777" w:rsidR="001E56C0" w:rsidRDefault="00893725" w:rsidP="0098172C">
            <w:pPr>
              <w:pBdr>
                <w:top w:val="nil"/>
                <w:left w:val="nil"/>
                <w:bottom w:val="nil"/>
                <w:right w:val="nil"/>
                <w:between w:val="nil"/>
              </w:pBdr>
              <w:spacing w:before="120" w:after="120"/>
              <w:ind w:left="-108"/>
              <w:jc w:val="left"/>
              <w:rPr>
                <w:rFonts w:eastAsia="Arial"/>
                <w:b/>
                <w:color w:val="000000"/>
                <w:sz w:val="24"/>
                <w:szCs w:val="24"/>
              </w:rPr>
            </w:pPr>
            <w:r>
              <w:rPr>
                <w:rFonts w:eastAsia="Arial"/>
                <w:b/>
                <w:color w:val="000000"/>
                <w:sz w:val="24"/>
                <w:szCs w:val="24"/>
              </w:rPr>
              <w:t>"Review Report"</w:t>
            </w:r>
          </w:p>
        </w:tc>
        <w:tc>
          <w:tcPr>
            <w:tcW w:w="5075" w:type="dxa"/>
          </w:tcPr>
          <w:p w14:paraId="6A113EB5" w14:textId="77777777" w:rsidR="001E56C0" w:rsidRDefault="00893725" w:rsidP="0098172C">
            <w:pPr>
              <w:numPr>
                <w:ilvl w:val="0"/>
                <w:numId w:val="2"/>
              </w:numPr>
              <w:pBdr>
                <w:top w:val="nil"/>
                <w:left w:val="nil"/>
                <w:bottom w:val="nil"/>
                <w:right w:val="nil"/>
                <w:between w:val="nil"/>
              </w:pBdr>
              <w:tabs>
                <w:tab w:val="left" w:pos="-9"/>
              </w:tabs>
              <w:spacing w:before="120" w:after="120"/>
              <w:jc w:val="left"/>
              <w:rPr>
                <w:rFonts w:eastAsia="Arial"/>
                <w:color w:val="000000"/>
                <w:sz w:val="24"/>
                <w:szCs w:val="24"/>
              </w:rPr>
            </w:pPr>
            <w:r>
              <w:rPr>
                <w:rFonts w:eastAsia="Arial"/>
                <w:color w:val="000000"/>
                <w:sz w:val="24"/>
                <w:szCs w:val="24"/>
              </w:rPr>
              <w:t>has the meaning given to it in Paragraph 6.3 of this Schedule; and</w:t>
            </w:r>
          </w:p>
        </w:tc>
      </w:tr>
      <w:tr w:rsidR="001E56C0" w14:paraId="6A113EB9" w14:textId="77777777">
        <w:tc>
          <w:tcPr>
            <w:tcW w:w="3097" w:type="dxa"/>
          </w:tcPr>
          <w:p w14:paraId="6A113EB7" w14:textId="77777777" w:rsidR="001E56C0" w:rsidRDefault="00893725" w:rsidP="0098172C">
            <w:pPr>
              <w:pBdr>
                <w:top w:val="nil"/>
                <w:left w:val="nil"/>
                <w:bottom w:val="nil"/>
                <w:right w:val="nil"/>
                <w:between w:val="nil"/>
              </w:pBdr>
              <w:spacing w:before="120" w:after="120"/>
              <w:ind w:left="-108"/>
              <w:jc w:val="left"/>
              <w:rPr>
                <w:rFonts w:eastAsia="Arial"/>
                <w:b/>
                <w:color w:val="000000"/>
                <w:sz w:val="24"/>
                <w:szCs w:val="24"/>
              </w:rPr>
            </w:pPr>
            <w:r>
              <w:rPr>
                <w:rFonts w:eastAsia="Arial"/>
                <w:b/>
                <w:color w:val="000000"/>
                <w:sz w:val="24"/>
                <w:szCs w:val="24"/>
              </w:rPr>
              <w:t>"Supplier's Proposals"</w:t>
            </w:r>
          </w:p>
        </w:tc>
        <w:tc>
          <w:tcPr>
            <w:tcW w:w="5075" w:type="dxa"/>
          </w:tcPr>
          <w:p w14:paraId="6A113EB8" w14:textId="77777777" w:rsidR="001E56C0" w:rsidRDefault="00893725" w:rsidP="0098172C">
            <w:pPr>
              <w:numPr>
                <w:ilvl w:val="0"/>
                <w:numId w:val="2"/>
              </w:numPr>
              <w:pBdr>
                <w:top w:val="nil"/>
                <w:left w:val="nil"/>
                <w:bottom w:val="nil"/>
                <w:right w:val="nil"/>
                <w:between w:val="nil"/>
              </w:pBdr>
              <w:tabs>
                <w:tab w:val="left" w:pos="-9"/>
              </w:tabs>
              <w:spacing w:before="120" w:after="120"/>
              <w:jc w:val="left"/>
              <w:rPr>
                <w:rFonts w:eastAsia="Arial"/>
                <w:color w:val="000000"/>
                <w:sz w:val="24"/>
                <w:szCs w:val="24"/>
              </w:rPr>
            </w:pPr>
            <w:r>
              <w:rPr>
                <w:rFonts w:eastAsia="Arial"/>
                <w:color w:val="000000"/>
                <w:sz w:val="24"/>
                <w:szCs w:val="24"/>
              </w:rPr>
              <w:t>has the meaning given to it in Paragraph 6.3 of this Schedule;</w:t>
            </w:r>
          </w:p>
        </w:tc>
      </w:tr>
    </w:tbl>
    <w:p w14:paraId="6A113EBA" w14:textId="77777777" w:rsidR="001E56C0" w:rsidRDefault="00893725" w:rsidP="0098172C">
      <w:pPr>
        <w:keepNext/>
        <w:numPr>
          <w:ilvl w:val="0"/>
          <w:numId w:val="1"/>
        </w:numPr>
        <w:pBdr>
          <w:top w:val="nil"/>
          <w:left w:val="nil"/>
          <w:bottom w:val="nil"/>
          <w:right w:val="nil"/>
          <w:between w:val="nil"/>
        </w:pBdr>
        <w:tabs>
          <w:tab w:val="left" w:pos="0"/>
        </w:tabs>
        <w:spacing w:before="120" w:after="120"/>
        <w:jc w:val="left"/>
        <w:rPr>
          <w:rFonts w:eastAsia="Arial"/>
          <w:b/>
          <w:smallCaps/>
          <w:color w:val="000000"/>
          <w:sz w:val="24"/>
          <w:szCs w:val="24"/>
        </w:rPr>
      </w:pPr>
      <w:r>
        <w:rPr>
          <w:rFonts w:ascii="Arial Bold" w:eastAsia="Arial Bold" w:hAnsi="Arial Bold" w:cs="Arial Bold"/>
          <w:b/>
          <w:color w:val="000000"/>
          <w:sz w:val="24"/>
          <w:szCs w:val="24"/>
        </w:rPr>
        <w:t>BCDR Plan</w:t>
      </w:r>
    </w:p>
    <w:p w14:paraId="6A113EBB"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The Buyer and the Supplier recognise that, where specified in Schedule 4 (Framework Management), CCS shall have the right to enforce the Buyer's rights under this Schedule.</w:t>
      </w:r>
    </w:p>
    <w:p w14:paraId="6A113EBC"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At least ninety (90) Working Days prior to the Start Date the Supplier shall prepare and deliver to the Buyer for the Buyer’s written approval a plan (a </w:t>
      </w:r>
      <w:r>
        <w:rPr>
          <w:rFonts w:eastAsia="Arial"/>
          <w:b/>
          <w:color w:val="000000"/>
          <w:sz w:val="24"/>
          <w:szCs w:val="24"/>
        </w:rPr>
        <w:lastRenderedPageBreak/>
        <w:t>“BCDR Plan”</w:t>
      </w:r>
      <w:r>
        <w:rPr>
          <w:rFonts w:eastAsia="Arial"/>
          <w:color w:val="000000"/>
          <w:sz w:val="24"/>
          <w:szCs w:val="24"/>
        </w:rPr>
        <w:t>), which shall detail the processes and arrangements that the Supplier shall follow to:</w:t>
      </w:r>
    </w:p>
    <w:p w14:paraId="6A113EBD"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6A113EBE"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14:paraId="6A113EBF" w14:textId="77777777" w:rsidR="001E56C0" w:rsidRDefault="00893725" w:rsidP="0098172C">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6A113EC0"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 xml:space="preserve">Section 1 which shall set out general principles applicable to the BCDR Plan; </w:t>
      </w:r>
    </w:p>
    <w:p w14:paraId="6A113EC1"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14:paraId="6A113EC2"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6" w:name="_heading=h.tyjcwt" w:colFirst="0" w:colLast="0"/>
      <w:bookmarkEnd w:id="6"/>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14:paraId="6A113EC3"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bookmarkStart w:id="7" w:name="_heading=h.3dy6vkm" w:colFirst="0" w:colLast="0"/>
      <w:bookmarkEnd w:id="7"/>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6A113EC4" w14:textId="77777777" w:rsidR="001E56C0" w:rsidRDefault="00893725" w:rsidP="0098172C">
      <w:pPr>
        <w:keepNext/>
        <w:numPr>
          <w:ilvl w:val="0"/>
          <w:numId w:val="1"/>
        </w:numPr>
        <w:pBdr>
          <w:top w:val="nil"/>
          <w:left w:val="nil"/>
          <w:bottom w:val="nil"/>
          <w:right w:val="nil"/>
          <w:between w:val="nil"/>
        </w:pBdr>
        <w:tabs>
          <w:tab w:val="left" w:pos="0"/>
        </w:tabs>
        <w:spacing w:before="120" w:after="12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14:paraId="6A113EC5" w14:textId="77777777" w:rsidR="001E56C0" w:rsidRDefault="00893725" w:rsidP="0098172C">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6A113EC6"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14:paraId="6A113EC7"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14:paraId="6A113EC8"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14:paraId="6A113EC9"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A113ECA"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14:paraId="6A113ECB" w14:textId="77777777" w:rsidR="001E56C0" w:rsidRDefault="00893725" w:rsidP="0098172C">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6A113ECC" w14:textId="77777777" w:rsidR="001E56C0" w:rsidRDefault="00893725" w:rsidP="0098172C">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14:paraId="6A113ECD" w14:textId="77777777" w:rsidR="001E56C0" w:rsidRDefault="00893725" w:rsidP="0098172C">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14:paraId="6A113ECE" w14:textId="77777777" w:rsidR="001E56C0" w:rsidRDefault="00893725" w:rsidP="0098172C">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risks arising from the interaction of the provision of Deliverables with the goods and/or services provided by a Related Supplier; and</w:t>
      </w:r>
    </w:p>
    <w:p w14:paraId="6A113ECF" w14:textId="77777777" w:rsidR="001E56C0" w:rsidRDefault="00893725" w:rsidP="0098172C">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14:paraId="6A113ED0"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14:paraId="6A113ED1"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14:paraId="6A113ED2"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14:paraId="6A113ED3"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14:paraId="6A113ED4"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6A113ED5"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14:paraId="6A113ED6" w14:textId="77777777" w:rsidR="001E56C0" w:rsidRDefault="00893725" w:rsidP="0098172C">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14:paraId="6A113ED7"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14:paraId="6A113ED8"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14:paraId="6A113ED9"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6A113EDA"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6A113EDB"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6A113EDC"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6A113EDD" w14:textId="77777777" w:rsidR="001E56C0" w:rsidRDefault="00893725" w:rsidP="0098172C">
      <w:pPr>
        <w:keepNext/>
        <w:numPr>
          <w:ilvl w:val="0"/>
          <w:numId w:val="1"/>
        </w:numPr>
        <w:pBdr>
          <w:top w:val="nil"/>
          <w:left w:val="nil"/>
          <w:bottom w:val="nil"/>
          <w:right w:val="nil"/>
          <w:between w:val="nil"/>
        </w:pBdr>
        <w:tabs>
          <w:tab w:val="left" w:pos="0"/>
        </w:tabs>
        <w:spacing w:before="120" w:after="12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14:paraId="6A113EDE"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4d34og8" w:colFirst="0" w:colLast="0"/>
      <w:bookmarkEnd w:id="9"/>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6A113EDF"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6A113EE0"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the steps to be taken by the Supplier upon resumption of the provision of Deliverables in order to address the effect of the failure or disruption.</w:t>
      </w:r>
    </w:p>
    <w:p w14:paraId="6A113EE1" w14:textId="77777777" w:rsidR="001E56C0" w:rsidRDefault="00893725" w:rsidP="0098172C">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6A113EE2"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14:paraId="6A113EE3"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0" w:name="_heading=h.2s8eyo1" w:colFirst="0" w:colLast="0"/>
      <w:bookmarkEnd w:id="10"/>
      <w:r>
        <w:rPr>
          <w:rFonts w:eastAsia="Arial"/>
          <w:color w:val="000000"/>
          <w:sz w:val="24"/>
          <w:szCs w:val="24"/>
        </w:rPr>
        <w:t>set out the goods and/or services to be provided and the steps to be taken to remedy the different levels of failures of and disruption to the Deliverables;</w:t>
      </w:r>
    </w:p>
    <w:p w14:paraId="6A113EE4"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6A113EE5"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6A113EE6" w14:textId="77777777" w:rsidR="001E56C0" w:rsidRDefault="00893725" w:rsidP="0098172C">
      <w:pPr>
        <w:keepNext/>
        <w:numPr>
          <w:ilvl w:val="0"/>
          <w:numId w:val="1"/>
        </w:numPr>
        <w:pBdr>
          <w:top w:val="nil"/>
          <w:left w:val="nil"/>
          <w:bottom w:val="nil"/>
          <w:right w:val="nil"/>
          <w:between w:val="nil"/>
        </w:pBdr>
        <w:tabs>
          <w:tab w:val="left" w:pos="0"/>
        </w:tabs>
        <w:spacing w:before="120" w:after="12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14:paraId="6A113EE7"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17dp8vu" w:colFirst="0" w:colLast="0"/>
      <w:bookmarkEnd w:id="11"/>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6A113EE8" w14:textId="77777777" w:rsidR="001E56C0" w:rsidRDefault="00893725" w:rsidP="0098172C">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6A113EE9"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14:paraId="6A113EEA"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14:paraId="6A113EEB"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14:paraId="6A113EEC"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14:paraId="6A113EED"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14:paraId="6A113EEE"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14:paraId="6A113EEF"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14:paraId="6A113EF0"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14:paraId="6A113EF1"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14:paraId="6A113EF2"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6A113EF3"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14:paraId="6A113EF4"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access controls to any disaster recovery sites used by the Supplier in relation to its obligations pursuant to this Schedule; and</w:t>
      </w:r>
    </w:p>
    <w:p w14:paraId="6A113EF5"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6A113EF6" w14:textId="77777777" w:rsidR="001E56C0" w:rsidRDefault="00893725" w:rsidP="0098172C">
      <w:pPr>
        <w:keepNext/>
        <w:numPr>
          <w:ilvl w:val="0"/>
          <w:numId w:val="1"/>
        </w:numPr>
        <w:pBdr>
          <w:top w:val="nil"/>
          <w:left w:val="nil"/>
          <w:bottom w:val="nil"/>
          <w:right w:val="nil"/>
          <w:between w:val="nil"/>
        </w:pBdr>
        <w:tabs>
          <w:tab w:val="left" w:pos="0"/>
        </w:tabs>
        <w:spacing w:before="120" w:after="12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14:paraId="6A113EF7" w14:textId="77777777" w:rsidR="001E56C0" w:rsidRDefault="00893725" w:rsidP="0098172C">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2" w:name="_heading=h.3rdcrjn" w:colFirst="0" w:colLast="0"/>
      <w:bookmarkEnd w:id="12"/>
      <w:r>
        <w:rPr>
          <w:rFonts w:eastAsia="Arial"/>
          <w:color w:val="000000"/>
          <w:sz w:val="24"/>
          <w:szCs w:val="24"/>
        </w:rPr>
        <w:t>The Supplier shall review the BCDR Plan:</w:t>
      </w:r>
    </w:p>
    <w:p w14:paraId="6A113EF8"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6in1rg" w:colFirst="0" w:colLast="0"/>
      <w:bookmarkEnd w:id="13"/>
      <w:r>
        <w:rPr>
          <w:rFonts w:eastAsia="Arial"/>
          <w:color w:val="000000"/>
          <w:sz w:val="24"/>
          <w:szCs w:val="24"/>
        </w:rPr>
        <w:t>on a regular basis and as a minimum once every six (6) Months;</w:t>
      </w:r>
    </w:p>
    <w:p w14:paraId="6A113EF9"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lnxbz9" w:colFirst="0" w:colLast="0"/>
      <w:bookmarkEnd w:id="14"/>
      <w:r>
        <w:rPr>
          <w:rFonts w:eastAsia="Arial"/>
          <w:color w:val="000000"/>
          <w:sz w:val="24"/>
          <w:szCs w:val="24"/>
        </w:rPr>
        <w:t>within three (3) calendar Months of the BCDR Plan (or any part) having been invoked pursuant to Paragraph 7; and</w:t>
      </w:r>
    </w:p>
    <w:p w14:paraId="6A113EFA"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35nkun2" w:colFirst="0" w:colLast="0"/>
      <w:bookmarkEnd w:id="15"/>
      <w:r>
        <w:rPr>
          <w:rFonts w:eastAsia="Arial"/>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6A113EFB"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1ksv4uv" w:colFirst="0" w:colLast="0"/>
      <w:bookmarkEnd w:id="16"/>
      <w:r>
        <w:rPr>
          <w:rFonts w:eastAsia="Arial"/>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6A113EFC"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44sinio" w:colFirst="0" w:colLast="0"/>
      <w:bookmarkEnd w:id="17"/>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p>
    <w:p w14:paraId="6A113EFD"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bookmarkStart w:id="18" w:name="_heading=h.2jxsxqh" w:colFirst="0" w:colLast="0"/>
      <w:bookmarkEnd w:id="18"/>
      <w:r>
        <w:rPr>
          <w:rFonts w:eastAsia="Arial"/>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6A113EFE"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A113EFF" w14:textId="77777777" w:rsidR="001E56C0" w:rsidRDefault="00893725" w:rsidP="0098172C">
      <w:pPr>
        <w:keepNext/>
        <w:numPr>
          <w:ilvl w:val="0"/>
          <w:numId w:val="1"/>
        </w:numPr>
        <w:pBdr>
          <w:top w:val="nil"/>
          <w:left w:val="nil"/>
          <w:bottom w:val="nil"/>
          <w:right w:val="nil"/>
          <w:between w:val="nil"/>
        </w:pBdr>
        <w:tabs>
          <w:tab w:val="left" w:pos="0"/>
        </w:tabs>
        <w:spacing w:before="120" w:after="12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lastRenderedPageBreak/>
        <w:t>Testing the BCDR Plan</w:t>
      </w:r>
    </w:p>
    <w:p w14:paraId="6A113F00" w14:textId="77777777" w:rsidR="001E56C0" w:rsidRDefault="00893725" w:rsidP="0098172C">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3j2qqm3" w:colFirst="0" w:colLast="0"/>
      <w:bookmarkEnd w:id="20"/>
      <w:r>
        <w:rPr>
          <w:rFonts w:eastAsia="Arial"/>
          <w:color w:val="000000"/>
          <w:sz w:val="24"/>
          <w:szCs w:val="24"/>
        </w:rPr>
        <w:t xml:space="preserve">The Supplier shall test the BCDR Plan: </w:t>
      </w:r>
    </w:p>
    <w:p w14:paraId="6A113F01"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14:paraId="6A113F02"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14:paraId="6A113F03"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14:paraId="6A113F04"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y810tw" w:colFirst="0" w:colLast="0"/>
      <w:bookmarkEnd w:id="21"/>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6A113F05"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A113F06"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A113F07" w14:textId="77777777" w:rsidR="001E56C0" w:rsidRDefault="00893725" w:rsidP="0098172C">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6A113F08"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14:paraId="6A113F09"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6A113F0A" w14:textId="77777777" w:rsidR="001E56C0" w:rsidRDefault="00893725" w:rsidP="0098172C">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6A113F0B"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i7ojhp" w:colFirst="0" w:colLast="0"/>
      <w:bookmarkEnd w:id="22"/>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A113F0C" w14:textId="77777777" w:rsidR="001E56C0" w:rsidRDefault="00893725" w:rsidP="0098172C">
      <w:pPr>
        <w:keepNext/>
        <w:numPr>
          <w:ilvl w:val="0"/>
          <w:numId w:val="1"/>
        </w:numPr>
        <w:pBdr>
          <w:top w:val="nil"/>
          <w:left w:val="nil"/>
          <w:bottom w:val="nil"/>
          <w:right w:val="nil"/>
          <w:between w:val="nil"/>
        </w:pBdr>
        <w:tabs>
          <w:tab w:val="left" w:pos="0"/>
        </w:tabs>
        <w:spacing w:before="120" w:after="120"/>
        <w:jc w:val="left"/>
        <w:rPr>
          <w:rFonts w:ascii="Arial Bold" w:eastAsia="Arial Bold" w:hAnsi="Arial Bold" w:cs="Arial Bold"/>
          <w:b/>
          <w:color w:val="000000"/>
          <w:sz w:val="24"/>
          <w:szCs w:val="24"/>
        </w:rPr>
      </w:pPr>
      <w:bookmarkStart w:id="23" w:name="_heading=h.2xcytpi" w:colFirst="0" w:colLast="0"/>
      <w:bookmarkEnd w:id="23"/>
      <w:r>
        <w:rPr>
          <w:rFonts w:ascii="Arial Bold" w:eastAsia="Arial Bold" w:hAnsi="Arial Bold" w:cs="Arial Bold"/>
          <w:b/>
          <w:color w:val="000000"/>
          <w:sz w:val="24"/>
          <w:szCs w:val="24"/>
        </w:rPr>
        <w:t>Invoking the BCDR Plan</w:t>
      </w:r>
    </w:p>
    <w:p w14:paraId="6A113F0D"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6A113F0E" w14:textId="77777777" w:rsidR="001E56C0" w:rsidRDefault="00893725" w:rsidP="0098172C">
      <w:pPr>
        <w:keepNext/>
        <w:numPr>
          <w:ilvl w:val="0"/>
          <w:numId w:val="1"/>
        </w:numPr>
        <w:pBdr>
          <w:top w:val="nil"/>
          <w:left w:val="nil"/>
          <w:bottom w:val="nil"/>
          <w:right w:val="nil"/>
          <w:between w:val="nil"/>
        </w:pBdr>
        <w:tabs>
          <w:tab w:val="left" w:pos="0"/>
        </w:tabs>
        <w:spacing w:before="120" w:after="12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14:paraId="6A113F0F" w14:textId="77777777" w:rsidR="001E56C0" w:rsidRDefault="00893725" w:rsidP="0098172C">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bookmarkEnd w:id="0"/>
    </w:p>
    <w:sectPr w:rsidR="001E56C0" w:rsidSect="00F852DD">
      <w:headerReference w:type="default" r:id="rId8"/>
      <w:footerReference w:type="default" r:id="rId9"/>
      <w:footerReference w:type="first" r:id="rId10"/>
      <w:pgSz w:w="11906" w:h="16838"/>
      <w:pgMar w:top="1440" w:right="1440" w:bottom="1440" w:left="1440"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13F12" w14:textId="77777777" w:rsidR="00C5336D" w:rsidRDefault="00C5336D">
      <w:pPr>
        <w:spacing w:after="0"/>
      </w:pPr>
      <w:r>
        <w:separator/>
      </w:r>
    </w:p>
  </w:endnote>
  <w:endnote w:type="continuationSeparator" w:id="0">
    <w:p w14:paraId="6A113F13" w14:textId="77777777" w:rsidR="00C5336D" w:rsidRDefault="00C533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13F19" w14:textId="06834B57" w:rsidR="001E56C0" w:rsidRDefault="0089372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sidR="00F852DD">
      <w:rPr>
        <w:rFonts w:eastAsia="Arial"/>
        <w:color w:val="000000"/>
        <w:sz w:val="20"/>
        <w:szCs w:val="20"/>
      </w:rPr>
      <w:t xml:space="preserve">6179                                                                                             </w:t>
    </w:r>
    <w:r w:rsidR="00F852DD">
      <w:rPr>
        <w:rFonts w:eastAsia="Arial"/>
        <w:color w:val="000000"/>
        <w:sz w:val="20"/>
        <w:szCs w:val="20"/>
      </w:rPr>
      <w:t>Model Version: v3.</w:t>
    </w:r>
    <w:r w:rsidR="00F852DD">
      <w:rPr>
        <w:sz w:val="20"/>
        <w:szCs w:val="20"/>
      </w:rPr>
      <w:t>3</w:t>
    </w:r>
  </w:p>
  <w:p w14:paraId="6A113F1B" w14:textId="7A223882" w:rsidR="001E56C0" w:rsidRPr="00F852DD" w:rsidRDefault="0089372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B03F5E">
      <w:rPr>
        <w:rFonts w:eastAsia="Arial"/>
        <w:noProof/>
        <w:color w:val="000000"/>
        <w:sz w:val="20"/>
        <w:szCs w:val="20"/>
      </w:rPr>
      <w:t>1</w:t>
    </w:r>
    <w:r>
      <w:rPr>
        <w:rFonts w:eastAsia="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13F1C" w14:textId="77777777" w:rsidR="001E56C0" w:rsidRDefault="0089372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6A113F1D" w14:textId="77777777" w:rsidR="001E56C0" w:rsidRDefault="0089372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6A113F1E" w14:textId="77777777" w:rsidR="001E56C0" w:rsidRDefault="0089372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13F10" w14:textId="77777777" w:rsidR="00C5336D" w:rsidRDefault="00C5336D">
      <w:pPr>
        <w:spacing w:after="0"/>
      </w:pPr>
      <w:r>
        <w:separator/>
      </w:r>
    </w:p>
  </w:footnote>
  <w:footnote w:type="continuationSeparator" w:id="0">
    <w:p w14:paraId="6A113F11" w14:textId="77777777" w:rsidR="00C5336D" w:rsidRDefault="00C533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13F14" w14:textId="77777777" w:rsidR="001E56C0" w:rsidRDefault="00893725">
    <w:pPr>
      <w:tabs>
        <w:tab w:val="center" w:pos="4513"/>
        <w:tab w:val="right" w:pos="9026"/>
      </w:tabs>
      <w:spacing w:after="0"/>
      <w:ind w:left="0"/>
      <w:jc w:val="left"/>
      <w:rPr>
        <w:sz w:val="20"/>
        <w:szCs w:val="20"/>
      </w:rPr>
    </w:pPr>
    <w:r>
      <w:rPr>
        <w:b/>
        <w:sz w:val="20"/>
        <w:szCs w:val="20"/>
      </w:rPr>
      <w:t>Call-Off Schedule 8 (Business Continuity and Disaster Recovery)</w:t>
    </w:r>
  </w:p>
  <w:p w14:paraId="6A113F15" w14:textId="77777777" w:rsidR="001E56C0" w:rsidRDefault="00893725">
    <w:pPr>
      <w:tabs>
        <w:tab w:val="center" w:pos="4513"/>
        <w:tab w:val="right" w:pos="9026"/>
      </w:tabs>
      <w:spacing w:after="0"/>
      <w:ind w:left="0"/>
      <w:jc w:val="left"/>
      <w:rPr>
        <w:sz w:val="20"/>
        <w:szCs w:val="20"/>
      </w:rPr>
    </w:pPr>
    <w:r>
      <w:rPr>
        <w:sz w:val="20"/>
        <w:szCs w:val="20"/>
      </w:rPr>
      <w:t>Call-Off Ref:</w:t>
    </w:r>
    <w:r w:rsidR="0033198E" w:rsidRPr="0033198E">
      <w:rPr>
        <w:rFonts w:eastAsia="Arial"/>
        <w:color w:val="000000"/>
        <w:sz w:val="20"/>
        <w:szCs w:val="20"/>
      </w:rPr>
      <w:t xml:space="preserve"> </w:t>
    </w:r>
    <w:r w:rsidR="0033198E">
      <w:rPr>
        <w:rFonts w:eastAsia="Arial"/>
        <w:color w:val="000000"/>
        <w:sz w:val="20"/>
        <w:szCs w:val="20"/>
      </w:rPr>
      <w:t>CCLL23A05</w:t>
    </w:r>
  </w:p>
  <w:p w14:paraId="6A113F17" w14:textId="3150D381" w:rsidR="001E56C0" w:rsidRDefault="00893725">
    <w:pPr>
      <w:tabs>
        <w:tab w:val="center" w:pos="4513"/>
        <w:tab w:val="right" w:pos="9026"/>
      </w:tabs>
      <w:spacing w:after="0"/>
      <w:ind w:left="0"/>
      <w:jc w:val="left"/>
      <w:rPr>
        <w:sz w:val="20"/>
        <w:szCs w:val="20"/>
      </w:rPr>
    </w:pPr>
    <w:r>
      <w:rPr>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E778C"/>
    <w:multiLevelType w:val="multilevel"/>
    <w:tmpl w:val="0A18979E"/>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7772244A"/>
    <w:multiLevelType w:val="multilevel"/>
    <w:tmpl w:val="E17E522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6C0"/>
    <w:rsid w:val="001E56C0"/>
    <w:rsid w:val="0033198E"/>
    <w:rsid w:val="00893725"/>
    <w:rsid w:val="0098172C"/>
    <w:rsid w:val="00B03F5E"/>
    <w:rsid w:val="00C5336D"/>
    <w:rsid w:val="00F852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13E9B"/>
  <w15:docId w15:val="{44379236-40D5-447D-BD37-C30A0F525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Gx7wYsBFgSNri720XsdalFYgbw==">AMUW2mW51wQ/ytkdEmDlQZdH0kNqvT/Ium9qO68BZ1xZDIJvKCt7ioVeXEdxYjyKCuxrcopWeHU/W/L8Tnb/+0uhQ0+SyCS+34WjXwT5iT9N173HJ2ip8CL8T77Z36mewUPS3EWNrKa2k3ALilnyc4mBWpJQD2JMB6xSDi3ag/WcvwEfevo4CHqroJE4MVTWn5YGTvttzezTwcfgGidLvSyrWkfLJKW/jm12hf+TNcr9xXvDsPWUhiZ4NZ6cLltV+MFmziifjpZ8gzR1PlR4kLfEjmciaWfk/mbPirvB9B+/N87nRYn3gOqJOYlrQ2XGCfiEdrXWWJczRrx14hktg2l4qgWFPDgHqyk614XwaqvjiPP6ksb4fV4NTb35ThAjC/QQ6pwU5UOgT/aLtnEmNm9InTK/D6GdyASqIOBOMvNhgM43Hhs6y2frLMSUCh3xyYI/G5+8Pvj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2030</Words>
  <Characters>11574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Cowley</dc:creator>
  <cp:lastModifiedBy>Jonathan Wotman</cp:lastModifiedBy>
  <cp:revision>5</cp:revision>
  <dcterms:created xsi:type="dcterms:W3CDTF">2023-10-02T13:53:00Z</dcterms:created>
  <dcterms:modified xsi:type="dcterms:W3CDTF">2023-10-11T15:08:00Z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